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1A" w:rsidRPr="00C53F67" w:rsidRDefault="0038002F" w:rsidP="008F0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3F67">
        <w:rPr>
          <w:rFonts w:ascii="Times New Roman" w:hAnsi="Times New Roman" w:cs="Times New Roman"/>
          <w:sz w:val="28"/>
          <w:szCs w:val="28"/>
        </w:rPr>
        <w:t>Внесены изменения в статью 263 Трудового кодекса Российской Федерации Федеральный закон направлен на расширение трудовых гарантий лицам с семейными обязанностями и предусматривает установление коллективным договором для работника, осуществляющего уход за членом семьи или иным родственником, являющимися инвалидами I группы, права на ежегодный дополнительный отпуск без сохранения заработной платы в удобное для работника время продолжительностью до 14 календарных дней.</w:t>
      </w:r>
      <w:bookmarkEnd w:id="0"/>
    </w:p>
    <w:sectPr w:rsidR="00DF521A" w:rsidRPr="00C5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F"/>
    <w:rsid w:val="0038002F"/>
    <w:rsid w:val="008F064A"/>
    <w:rsid w:val="00C53F67"/>
    <w:rsid w:val="00D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2021-12-10T13:57:00Z</dcterms:created>
  <dcterms:modified xsi:type="dcterms:W3CDTF">2021-12-10T14:18:00Z</dcterms:modified>
</cp:coreProperties>
</file>